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450338B3"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(Dz.U. 202</w:t>
      </w:r>
      <w:r w:rsidR="00B55308">
        <w:rPr>
          <w:rFonts w:ascii="Tahoma" w:hAnsi="Tahoma" w:cs="Tahoma"/>
          <w:sz w:val="24"/>
        </w:rPr>
        <w:t>5 r.</w:t>
      </w:r>
      <w:r w:rsidRPr="00CE0A51">
        <w:rPr>
          <w:rFonts w:ascii="Tahoma" w:hAnsi="Tahoma" w:cs="Tahoma"/>
          <w:sz w:val="24"/>
        </w:rPr>
        <w:t xml:space="preserve"> poz.</w:t>
      </w:r>
      <w:r w:rsidR="00B55308">
        <w:rPr>
          <w:rFonts w:ascii="Tahoma" w:hAnsi="Tahoma" w:cs="Tahoma"/>
          <w:sz w:val="24"/>
        </w:rPr>
        <w:t xml:space="preserve"> 37</w:t>
      </w:r>
      <w:r w:rsidRPr="00CE0A51">
        <w:rPr>
          <w:rFonts w:ascii="Tahoma" w:hAnsi="Tahoma" w:cs="Tahoma"/>
          <w:sz w:val="24"/>
        </w:rPr>
        <w:t>)</w:t>
      </w:r>
      <w:r w:rsidR="007B3B3B" w:rsidRPr="00CE0A51">
        <w:rPr>
          <w:rFonts w:ascii="Tahoma" w:hAnsi="Tahoma" w:cs="Tahoma"/>
          <w:sz w:val="24"/>
        </w:rPr>
        <w:t>;</w:t>
      </w:r>
    </w:p>
    <w:p w14:paraId="2FCE84E3" w14:textId="671764AB"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r w:rsidR="00C211B7">
        <w:rPr>
          <w:lang w:eastAsia="pl-PL"/>
        </w:rPr>
        <w:t xml:space="preserve"> </w:t>
      </w:r>
      <w:r w:rsidRPr="00CE0A51">
        <w:rPr>
          <w:lang w:eastAsia="pl-PL"/>
        </w:rPr>
        <w:t>(Dz. U. z 2022 r., poz. 1079)</w:t>
      </w:r>
      <w:r w:rsidR="00C211B7">
        <w:rPr>
          <w:lang w:eastAsia="pl-PL"/>
        </w:rPr>
        <w:t xml:space="preserve">, </w:t>
      </w:r>
      <w:r w:rsidRPr="00CE0A51">
        <w:t>zwanej dalej ustawą wdrożeniową;</w:t>
      </w:r>
    </w:p>
    <w:p w14:paraId="20CCD707" w14:textId="279881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r w:rsidR="005036F4" w:rsidRPr="005036F4">
        <w:rPr>
          <w:rFonts w:ascii="Tahoma" w:hAnsi="Tahoma" w:cs="Tahoma"/>
          <w:sz w:val="24"/>
        </w:rPr>
        <w:t>t.j. Dz. U. 2024 r., poz. 1530</w:t>
      </w:r>
      <w:r w:rsidR="005036F4">
        <w:rPr>
          <w:rFonts w:ascii="Tahoma" w:hAnsi="Tahoma" w:cs="Tahoma"/>
          <w:sz w:val="24"/>
        </w:rPr>
        <w:t>),</w:t>
      </w:r>
      <w:r w:rsidRPr="00CE0A51">
        <w:rPr>
          <w:rFonts w:ascii="Tahoma" w:hAnsi="Tahoma" w:cs="Tahoma"/>
          <w:sz w:val="24"/>
        </w:rPr>
        <w:t xml:space="preserve"> zwana dalej UFP;</w:t>
      </w:r>
    </w:p>
    <w:p w14:paraId="6D61E3DC" w14:textId="603355D3"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73BD274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t.j. Dz. U. z 2024 r. poz. 1061 z późn.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3201B81C"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E27B2">
        <w:rPr>
          <w:rFonts w:ascii="Tahoma" w:hAnsi="Tahoma" w:cs="Tahoma"/>
          <w:sz w:val="24"/>
        </w:rPr>
        <w:t>5</w:t>
      </w:r>
      <w:r w:rsidRPr="00CE0A51">
        <w:rPr>
          <w:rFonts w:ascii="Tahoma" w:hAnsi="Tahoma" w:cs="Tahoma"/>
          <w:sz w:val="24"/>
        </w:rPr>
        <w:t xml:space="preserve"> r. poz. </w:t>
      </w:r>
      <w:r w:rsidR="008E27B2">
        <w:rPr>
          <w:rFonts w:ascii="Tahoma" w:hAnsi="Tahoma" w:cs="Tahoma"/>
          <w:sz w:val="24"/>
        </w:rPr>
        <w:t>775</w:t>
      </w:r>
      <w:r w:rsidRPr="00CE0A51">
        <w:rPr>
          <w:rFonts w:ascii="Tahoma" w:hAnsi="Tahoma" w:cs="Tahoma"/>
          <w:sz w:val="24"/>
        </w:rPr>
        <w:t>);</w:t>
      </w:r>
    </w:p>
    <w:p w14:paraId="359A6653" w14:textId="030C7951"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8E27B2">
        <w:rPr>
          <w:rStyle w:val="Uwydatnienie"/>
          <w:rFonts w:ascii="Tahoma" w:hAnsi="Tahoma" w:cs="Tahoma"/>
          <w:i w:val="0"/>
          <w:sz w:val="24"/>
        </w:rPr>
        <w:t>5</w:t>
      </w:r>
      <w:r w:rsidRPr="00CE0A51">
        <w:rPr>
          <w:rStyle w:val="Uwydatnienie"/>
          <w:rFonts w:ascii="Tahoma" w:hAnsi="Tahoma" w:cs="Tahoma"/>
          <w:i w:val="0"/>
          <w:sz w:val="24"/>
        </w:rPr>
        <w:t xml:space="preserve"> r. poz. </w:t>
      </w:r>
      <w:r w:rsidR="008E27B2">
        <w:rPr>
          <w:rStyle w:val="Uwydatnienie"/>
          <w:rFonts w:ascii="Tahoma" w:hAnsi="Tahoma" w:cs="Tahoma"/>
          <w:i w:val="0"/>
          <w:sz w:val="24"/>
        </w:rPr>
        <w:t>468</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2365323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w:t>
      </w:r>
      <w:r w:rsidR="008E27B2">
        <w:rPr>
          <w:rFonts w:ascii="Tahoma" w:hAnsi="Tahoma" w:cs="Tahoma"/>
        </w:rPr>
        <w:t>5</w:t>
      </w:r>
      <w:r w:rsidR="39BF17A1" w:rsidRPr="00CE0A51">
        <w:rPr>
          <w:rFonts w:ascii="Tahoma" w:hAnsi="Tahoma" w:cs="Tahoma"/>
        </w:rPr>
        <w:t xml:space="preserve"> r. poz. </w:t>
      </w:r>
      <w:r w:rsidR="008E27B2">
        <w:rPr>
          <w:rFonts w:ascii="Tahoma" w:hAnsi="Tahoma" w:cs="Tahoma"/>
        </w:rPr>
        <w:t>296</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25888068"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(t.j. Dz. U. z 2024 poz. 1045).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lastRenderedPageBreak/>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61BEFD11"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 xml:space="preserve">24. Poz. </w:t>
      </w:r>
      <w:r w:rsidR="008E27B2">
        <w:rPr>
          <w:rFonts w:ascii="Tahoma" w:hAnsi="Tahoma" w:cs="Tahoma"/>
        </w:rPr>
        <w:t>1725</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xml:space="preserve">, a także partner/rzy (jeśli dotyczy) </w:t>
      </w:r>
      <w:r w:rsidRPr="00CE0A51">
        <w:rPr>
          <w:rFonts w:ascii="Tahoma" w:hAnsi="Tahoma" w:cs="Tahoma"/>
          <w:iCs/>
        </w:rPr>
        <w:lastRenderedPageBreak/>
        <w:t>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5E163024"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w:t>
      </w:r>
      <w:r w:rsidRPr="00CE0A51">
        <w:rPr>
          <w:lang w:eastAsia="pl-PL"/>
        </w:rPr>
        <w:lastRenderedPageBreak/>
        <w:t>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lastRenderedPageBreak/>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w:t>
      </w:r>
      <w:r w:rsidRPr="00CE0A51">
        <w:rPr>
          <w:rFonts w:ascii="Tahoma" w:hAnsi="Tahoma"/>
          <w:sz w:val="24"/>
          <w:szCs w:val="24"/>
        </w:rPr>
        <w:lastRenderedPageBreak/>
        <w:t>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lastRenderedPageBreak/>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2A80AB04"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w:t>
      </w:r>
      <w:r w:rsidR="00B55308" w:rsidRPr="00CE0A51">
        <w:rPr>
          <w:rFonts w:ascii="Tahoma" w:hAnsi="Tahoma" w:cs="Tahoma"/>
        </w:rPr>
        <w:t>Dz.U. 202</w:t>
      </w:r>
      <w:r w:rsidR="00B55308">
        <w:rPr>
          <w:rFonts w:ascii="Tahoma" w:hAnsi="Tahoma" w:cs="Tahoma"/>
        </w:rPr>
        <w:t>5 r.</w:t>
      </w:r>
      <w:r w:rsidR="00B55308" w:rsidRPr="00CE0A51">
        <w:rPr>
          <w:rFonts w:ascii="Tahoma" w:hAnsi="Tahoma" w:cs="Tahoma"/>
        </w:rPr>
        <w:t xml:space="preserve"> poz.</w:t>
      </w:r>
      <w:r w:rsidR="00B55308">
        <w:rPr>
          <w:rFonts w:ascii="Tahoma" w:hAnsi="Tahoma" w:cs="Tahoma"/>
        </w:rPr>
        <w:t xml:space="preserve"> 37</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8"/>
    <w:bookmarkEnd w:id="37"/>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lastRenderedPageBreak/>
        <w:t>W przypadku stwie</w:t>
      </w:r>
      <w:bookmarkStart w:id="39" w:name="_GoBack"/>
      <w:bookmarkEnd w:id="39"/>
      <w:r w:rsidRPr="00CE0A51">
        <w:rPr>
          <w:rFonts w:ascii="Tahoma" w:hAnsi="Tahoma" w:cs="Tahoma"/>
        </w:rPr>
        <w:t xml:space="preserv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lastRenderedPageBreak/>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lastRenderedPageBreak/>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1" w:name="_Hlk122080973"/>
      <w:r w:rsidRPr="00CE0A51">
        <w:t>w terminach i według zasad określonych w § 1</w:t>
      </w:r>
      <w:r w:rsidR="00D638B9" w:rsidRPr="00CE0A51">
        <w:t>0</w:t>
      </w:r>
      <w:r w:rsidRPr="00CE0A51">
        <w:t xml:space="preserve"> niniejszej umowy</w:t>
      </w:r>
      <w:bookmarkEnd w:id="41"/>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lastRenderedPageBreak/>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w:t>
      </w:r>
      <w:r w:rsidRPr="00CE0A51">
        <w:rPr>
          <w:rFonts w:ascii="Tahoma" w:hAnsi="Tahoma" w:cs="Tahoma"/>
        </w:rPr>
        <w:lastRenderedPageBreak/>
        <w:t xml:space="preserve">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zapewnia, iż </w:t>
      </w:r>
      <w:r w:rsidR="0008112D" w:rsidRPr="0008112D">
        <w:rPr>
          <w:rFonts w:ascii="Tahoma" w:hAnsi="Tahoma" w:cs="Tahoma"/>
        </w:rPr>
        <w:t xml:space="preserve">osoby, o których mowa w ust. 17, wykorzystują kwalifikowany podpis elektroniczny lub certyfikat niekwalifikowany generowany </w:t>
      </w:r>
      <w:r w:rsidR="0008112D" w:rsidRPr="0008112D">
        <w:rPr>
          <w:rFonts w:ascii="Tahoma" w:hAnsi="Tahoma" w:cs="Tahoma"/>
        </w:rPr>
        <w:lastRenderedPageBreak/>
        <w:t>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2"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2"/>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0D6288C4" w:rsidR="006250CA" w:rsidRPr="00CE0A51" w:rsidRDefault="18BCA842" w:rsidP="00CE0A51">
      <w:pPr>
        <w:numPr>
          <w:ilvl w:val="0"/>
          <w:numId w:val="61"/>
        </w:numPr>
        <w:spacing w:after="120"/>
        <w:rPr>
          <w:rFonts w:eastAsia="Calibri"/>
        </w:rPr>
      </w:pPr>
      <w:bookmarkStart w:id="43" w:name="_Hlk126652762"/>
      <w:r w:rsidRPr="00CE0A51">
        <w:rPr>
          <w:rFonts w:eastAsia="Calibri"/>
        </w:rPr>
        <w:t>Beneficjent jest zobowiązany do wypełniania obowiązków informacyjnych i promocyjnych, 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3"/>
    <w:p w14:paraId="63127B8C" w14:textId="176C3331" w:rsidR="006250CA" w:rsidRPr="00CE0A51" w:rsidRDefault="006250CA" w:rsidP="00CE0A51">
      <w:pPr>
        <w:numPr>
          <w:ilvl w:val="0"/>
          <w:numId w:val="61"/>
        </w:numPr>
        <w:spacing w:after="120"/>
        <w:rPr>
          <w:rFonts w:eastAsia="Calibri"/>
        </w:rPr>
      </w:pPr>
      <w:r w:rsidRPr="00CE0A51">
        <w:rPr>
          <w:rFonts w:eastAsia="Calibri"/>
        </w:rPr>
        <w:lastRenderedPageBreak/>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 xml:space="preserve">Tablica informacyjna musi być umieszczona niezwłocznie po rozpoczęciu fizycznej realizacji projektu. W przypadku, gdy projekt rozpoczął się przed uzyskaniem dofinansowania, tablica powinna zostać zainstalowana/ustawiona bezpośrednio po podpisaniu umowy lub </w:t>
      </w:r>
      <w:r w:rsidRPr="00CE0A51">
        <w:rPr>
          <w:rFonts w:eastAsia="Calibri"/>
        </w:rPr>
        <w:lastRenderedPageBreak/>
        <w:t>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05F46370"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w:t>
      </w:r>
      <w:r w:rsidR="001D2E9F">
        <w:t xml:space="preserve"> </w:t>
      </w:r>
      <w:hyperlink r:id="rId27" w:history="1">
        <w:r w:rsidR="001D2E9F" w:rsidRPr="005A003B">
          <w:rPr>
            <w:rFonts w:eastAsia="Calibri"/>
            <w:color w:val="0563C1"/>
          </w:rPr>
          <w:t>EMPL-D3-UNIT@ec.europa.eu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lastRenderedPageBreak/>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w:t>
      </w:r>
      <w:r w:rsidRPr="00CE0A51">
        <w:rPr>
          <w:rFonts w:eastAsia="Calibri"/>
        </w:rPr>
        <w:lastRenderedPageBreak/>
        <w:t>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lastRenderedPageBreak/>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lastRenderedPageBreak/>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2E9F"/>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27B2"/>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308"/>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D3-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8" ma:contentTypeDescription="Utwórz nowy dokument." ma:contentTypeScope="" ma:versionID="4d13ad524cbcc85d2071c2eaee8caf34">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ebceea8eb04871053e55e6cabaf243c8"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element name="SharingHintHash" ma:index="12" nillable="true" ma:displayName="Skrót wskazówki dotyczącej udostępniania"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d47a4560-aee9-43e8-973f-2abd655c26a0"/>
    <ds:schemaRef ds:uri="http://schemas.microsoft.com/office/infopath/2007/PartnerControls"/>
    <ds:schemaRef ds:uri="http://schemas.openxmlformats.org/package/2006/metadata/core-properties"/>
    <ds:schemaRef ds:uri="d4f64a22-a125-4b7a-afce-4a30c86a8f7c"/>
    <ds:schemaRef ds:uri="http://purl.org/dc/dcmitype/"/>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E4A41196-C801-4651-8F1F-C3E5DD53A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569D81-4D7F-4CD1-A534-0E2388A5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12077</Words>
  <Characters>77661</Characters>
  <Application>Microsoft Office Word</Application>
  <DocSecurity>0</DocSecurity>
  <Lines>647</Lines>
  <Paragraphs>179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Monika Hacaś</cp:lastModifiedBy>
  <cp:revision>3</cp:revision>
  <cp:lastPrinted>2023-05-18T07:35:00Z</cp:lastPrinted>
  <dcterms:created xsi:type="dcterms:W3CDTF">2025-08-05T11:15:00Z</dcterms:created>
  <dcterms:modified xsi:type="dcterms:W3CDTF">2025-09-04T06:59:00Z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